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14225841</wp:posOffset>
            </wp:positionH>
            <wp:positionV relativeFrom="paragraph">
              <wp:posOffset>-1065</wp:posOffset>
            </wp:positionV>
            <wp:extent cx="423607" cy="42360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</w:rPr>
        <w:t>INDIKASI</w:t>
      </w:r>
      <w:r>
        <w:rPr>
          <w:color w:val="3A3838"/>
          <w:spacing w:val="-4"/>
        </w:rPr>
        <w:t> </w:t>
      </w:r>
      <w:r>
        <w:rPr>
          <w:color w:val="3A3838"/>
          <w:w w:val="90"/>
        </w:rPr>
        <w:t>PROGRAM</w:t>
      </w:r>
      <w:r>
        <w:rPr>
          <w:color w:val="3A3838"/>
          <w:spacing w:val="-5"/>
        </w:rPr>
        <w:t> </w:t>
      </w:r>
      <w:r>
        <w:rPr>
          <w:color w:val="3A3838"/>
          <w:w w:val="90"/>
        </w:rPr>
        <w:t>UTAMA:</w:t>
      </w:r>
      <w:r>
        <w:rPr>
          <w:color w:val="3A3838"/>
          <w:spacing w:val="-6"/>
        </w:rPr>
        <w:t> </w:t>
      </w:r>
      <w:r>
        <w:rPr>
          <w:color w:val="3A3838"/>
          <w:spacing w:val="-2"/>
          <w:w w:val="90"/>
        </w:rPr>
        <w:t>TRANSPORTASI</w:t>
      </w:r>
    </w:p>
    <w:p>
      <w:pPr>
        <w:pStyle w:val="BodyText"/>
        <w:spacing w:before="206"/>
        <w:rPr>
          <w:sz w:val="20"/>
        </w:rPr>
      </w:pPr>
    </w:p>
    <w:tbl>
      <w:tblPr>
        <w:tblW w:w="0" w:type="auto"/>
        <w:jc w:val="left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4954"/>
        <w:gridCol w:w="2925"/>
        <w:gridCol w:w="1608"/>
        <w:gridCol w:w="1608"/>
        <w:gridCol w:w="1608"/>
        <w:gridCol w:w="871"/>
        <w:gridCol w:w="854"/>
        <w:gridCol w:w="854"/>
        <w:gridCol w:w="871"/>
        <w:gridCol w:w="871"/>
        <w:gridCol w:w="854"/>
        <w:gridCol w:w="854"/>
        <w:gridCol w:w="2255"/>
      </w:tblGrid>
      <w:tr>
        <w:trPr>
          <w:trHeight w:val="283" w:hRule="atLeast"/>
        </w:trPr>
        <w:tc>
          <w:tcPr>
            <w:tcW w:w="627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spacing w:before="1"/>
              <w:ind w:left="161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4954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PROGRAM</w:t>
            </w:r>
          </w:p>
        </w:tc>
        <w:tc>
          <w:tcPr>
            <w:tcW w:w="2925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LOKASI</w:t>
            </w:r>
          </w:p>
        </w:tc>
        <w:tc>
          <w:tcPr>
            <w:tcW w:w="1608" w:type="dxa"/>
            <w:vMerge w:val="restart"/>
            <w:shd w:val="clear" w:color="auto" w:fill="336699"/>
          </w:tcPr>
          <w:p>
            <w:pPr>
              <w:pStyle w:val="TableParagraph"/>
              <w:spacing w:before="174"/>
              <w:rPr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462" w:right="331" w:hanging="116"/>
              <w:rPr>
                <w:sz w:val="24"/>
              </w:rPr>
            </w:pPr>
            <w:r>
              <w:rPr>
                <w:color w:val="FFFFFF"/>
                <w:spacing w:val="-2"/>
                <w:w w:val="90"/>
                <w:sz w:val="24"/>
              </w:rPr>
              <w:t>VOLUME </w:t>
            </w:r>
            <w:r>
              <w:rPr>
                <w:color w:val="FFFFFF"/>
                <w:spacing w:val="-2"/>
                <w:sz w:val="24"/>
              </w:rPr>
              <w:t>(UNIT)</w:t>
            </w:r>
          </w:p>
        </w:tc>
        <w:tc>
          <w:tcPr>
            <w:tcW w:w="3216" w:type="dxa"/>
            <w:gridSpan w:val="2"/>
            <w:shd w:val="clear" w:color="auto" w:fill="336699"/>
          </w:tcPr>
          <w:p>
            <w:pPr>
              <w:pStyle w:val="TableParagraph"/>
              <w:spacing w:line="251" w:lineRule="exact" w:before="13"/>
              <w:ind w:left="886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PEMBIAYAAN</w:t>
            </w:r>
          </w:p>
        </w:tc>
        <w:tc>
          <w:tcPr>
            <w:tcW w:w="6029" w:type="dxa"/>
            <w:gridSpan w:val="7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PIU</w:t>
            </w:r>
          </w:p>
        </w:tc>
      </w:tr>
      <w:tr>
        <w:trPr>
          <w:trHeight w:val="571" w:hRule="atLeast"/>
        </w:trPr>
        <w:tc>
          <w:tcPr>
            <w:tcW w:w="627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 w:val="restart"/>
            <w:shd w:val="clear" w:color="auto" w:fill="336699"/>
          </w:tcPr>
          <w:p>
            <w:pPr>
              <w:pStyle w:val="TableParagraph"/>
              <w:spacing w:before="28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447" w:hanging="65"/>
              <w:rPr>
                <w:sz w:val="24"/>
              </w:rPr>
            </w:pPr>
            <w:r>
              <w:rPr>
                <w:color w:val="FFFFFF"/>
                <w:spacing w:val="-2"/>
                <w:w w:val="90"/>
                <w:sz w:val="24"/>
              </w:rPr>
              <w:t>RUPIAH </w:t>
            </w:r>
            <w:r>
              <w:rPr>
                <w:color w:val="FFFFFF"/>
                <w:spacing w:val="-2"/>
                <w:sz w:val="24"/>
              </w:rPr>
              <w:t>(JUTA)</w:t>
            </w:r>
          </w:p>
        </w:tc>
        <w:tc>
          <w:tcPr>
            <w:tcW w:w="1608" w:type="dxa"/>
            <w:vMerge w:val="restart"/>
            <w:shd w:val="clear" w:color="auto" w:fill="336699"/>
          </w:tcPr>
          <w:p>
            <w:pPr>
              <w:pStyle w:val="TableParagraph"/>
              <w:spacing w:before="172"/>
              <w:rPr>
                <w:sz w:val="24"/>
              </w:rPr>
            </w:pPr>
          </w:p>
          <w:p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SUMBER</w:t>
            </w:r>
          </w:p>
        </w:tc>
        <w:tc>
          <w:tcPr>
            <w:tcW w:w="3450" w:type="dxa"/>
            <w:gridSpan w:val="4"/>
            <w:shd w:val="clear" w:color="auto" w:fill="336699"/>
          </w:tcPr>
          <w:p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color w:val="FFFFFF"/>
                <w:w w:val="90"/>
                <w:sz w:val="24"/>
              </w:rPr>
              <w:t>TAHAP</w:t>
            </w:r>
            <w:r>
              <w:rPr>
                <w:color w:val="FFFFFF"/>
                <w:spacing w:val="1"/>
                <w:sz w:val="24"/>
              </w:rPr>
              <w:t> </w:t>
            </w:r>
            <w:r>
              <w:rPr>
                <w:color w:val="FFFFFF"/>
                <w:spacing w:val="-10"/>
                <w:w w:val="90"/>
                <w:sz w:val="24"/>
              </w:rPr>
              <w:t>1</w:t>
            </w:r>
          </w:p>
        </w:tc>
        <w:tc>
          <w:tcPr>
            <w:tcW w:w="871" w:type="dxa"/>
            <w:shd w:val="clear" w:color="auto" w:fill="336699"/>
          </w:tcPr>
          <w:p>
            <w:pPr>
              <w:pStyle w:val="TableParagraph"/>
              <w:spacing w:line="290" w:lineRule="atLeast"/>
              <w:ind w:left="365" w:hanging="303"/>
              <w:rPr>
                <w:sz w:val="24"/>
              </w:rPr>
            </w:pPr>
            <w:r>
              <w:rPr>
                <w:color w:val="FFFFFF"/>
                <w:spacing w:val="-2"/>
                <w:w w:val="90"/>
                <w:sz w:val="24"/>
              </w:rPr>
              <w:t>TAHAP </w:t>
            </w:r>
            <w:r>
              <w:rPr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854" w:type="dxa"/>
            <w:shd w:val="clear" w:color="auto" w:fill="336699"/>
          </w:tcPr>
          <w:p>
            <w:pPr>
              <w:pStyle w:val="TableParagraph"/>
              <w:spacing w:line="290" w:lineRule="atLeast"/>
              <w:ind w:left="355" w:hanging="300"/>
              <w:rPr>
                <w:sz w:val="24"/>
              </w:rPr>
            </w:pPr>
            <w:r>
              <w:rPr>
                <w:color w:val="FFFFFF"/>
                <w:spacing w:val="-2"/>
                <w:w w:val="90"/>
                <w:sz w:val="24"/>
              </w:rPr>
              <w:t>TAHAP </w:t>
            </w:r>
            <w:r>
              <w:rPr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854" w:type="dxa"/>
            <w:shd w:val="clear" w:color="auto" w:fill="336699"/>
          </w:tcPr>
          <w:p>
            <w:pPr>
              <w:pStyle w:val="TableParagraph"/>
              <w:spacing w:line="290" w:lineRule="atLeast"/>
              <w:ind w:left="350" w:hanging="296"/>
              <w:rPr>
                <w:sz w:val="24"/>
              </w:rPr>
            </w:pPr>
            <w:r>
              <w:rPr>
                <w:color w:val="FFFFFF"/>
                <w:spacing w:val="-2"/>
                <w:w w:val="90"/>
                <w:sz w:val="24"/>
              </w:rPr>
              <w:t>TAHAP </w:t>
            </w:r>
            <w:r>
              <w:rPr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225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3" w:hRule="atLeast"/>
        </w:trPr>
        <w:tc>
          <w:tcPr>
            <w:tcW w:w="627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336699"/>
          </w:tcPr>
          <w:p>
            <w:pPr>
              <w:pStyle w:val="TableParagraph"/>
              <w:spacing w:before="148"/>
              <w:ind w:left="182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2026</w:t>
            </w:r>
          </w:p>
        </w:tc>
        <w:tc>
          <w:tcPr>
            <w:tcW w:w="854" w:type="dxa"/>
            <w:shd w:val="clear" w:color="auto" w:fill="336699"/>
          </w:tcPr>
          <w:p>
            <w:pPr>
              <w:pStyle w:val="TableParagraph"/>
              <w:spacing w:before="148"/>
              <w:ind w:left="170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2027</w:t>
            </w:r>
          </w:p>
        </w:tc>
        <w:tc>
          <w:tcPr>
            <w:tcW w:w="854" w:type="dxa"/>
            <w:shd w:val="clear" w:color="auto" w:fill="336699"/>
          </w:tcPr>
          <w:p>
            <w:pPr>
              <w:pStyle w:val="TableParagraph"/>
              <w:spacing w:before="148"/>
              <w:ind w:left="162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2028</w:t>
            </w:r>
          </w:p>
        </w:tc>
        <w:tc>
          <w:tcPr>
            <w:tcW w:w="871" w:type="dxa"/>
            <w:shd w:val="clear" w:color="auto" w:fill="336699"/>
          </w:tcPr>
          <w:p>
            <w:pPr>
              <w:pStyle w:val="TableParagraph"/>
              <w:spacing w:before="148"/>
              <w:ind w:left="176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2029</w:t>
            </w:r>
          </w:p>
        </w:tc>
        <w:tc>
          <w:tcPr>
            <w:tcW w:w="871" w:type="dxa"/>
            <w:shd w:val="clear" w:color="auto" w:fill="336699"/>
          </w:tcPr>
          <w:p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color w:val="FFFFFF"/>
                <w:spacing w:val="-2"/>
                <w:w w:val="105"/>
                <w:sz w:val="24"/>
              </w:rPr>
              <w:t>2030-</w:t>
            </w:r>
          </w:p>
          <w:p>
            <w:pPr>
              <w:pStyle w:val="TableParagraph"/>
              <w:spacing w:line="251" w:lineRule="exact" w:before="13"/>
              <w:ind w:left="168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2034</w:t>
            </w:r>
          </w:p>
        </w:tc>
        <w:tc>
          <w:tcPr>
            <w:tcW w:w="854" w:type="dxa"/>
            <w:shd w:val="clear" w:color="auto" w:fill="336699"/>
          </w:tcPr>
          <w:p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color w:val="FFFFFF"/>
                <w:spacing w:val="-2"/>
                <w:w w:val="105"/>
                <w:sz w:val="24"/>
              </w:rPr>
              <w:t>2035-</w:t>
            </w:r>
          </w:p>
          <w:p>
            <w:pPr>
              <w:pStyle w:val="TableParagraph"/>
              <w:spacing w:line="251" w:lineRule="exact" w:before="13"/>
              <w:ind w:left="166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2039</w:t>
            </w:r>
          </w:p>
        </w:tc>
        <w:tc>
          <w:tcPr>
            <w:tcW w:w="854" w:type="dxa"/>
            <w:shd w:val="clear" w:color="auto" w:fill="336699"/>
          </w:tcPr>
          <w:p>
            <w:pPr>
              <w:pStyle w:val="TableParagraph"/>
              <w:spacing w:before="4"/>
              <w:ind w:left="98"/>
              <w:rPr>
                <w:sz w:val="24"/>
              </w:rPr>
            </w:pPr>
            <w:r>
              <w:rPr>
                <w:color w:val="FFFFFF"/>
                <w:spacing w:val="-2"/>
                <w:w w:val="105"/>
                <w:sz w:val="24"/>
              </w:rPr>
              <w:t>2040-</w:t>
            </w:r>
          </w:p>
          <w:p>
            <w:pPr>
              <w:pStyle w:val="TableParagraph"/>
              <w:spacing w:line="251" w:lineRule="exact" w:before="13"/>
              <w:ind w:left="158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2045</w:t>
            </w:r>
          </w:p>
        </w:tc>
        <w:tc>
          <w:tcPr>
            <w:tcW w:w="225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627" w:type="dxa"/>
            <w:shd w:val="clear" w:color="auto" w:fill="FFC000"/>
          </w:tcPr>
          <w:p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954" w:type="dxa"/>
            <w:shd w:val="clear" w:color="auto" w:fill="FFC000"/>
          </w:tcPr>
          <w:p>
            <w:pPr>
              <w:pStyle w:val="TableParagraph"/>
              <w:spacing w:line="280" w:lineRule="atLeast"/>
              <w:ind w:left="5"/>
              <w:rPr>
                <w:sz w:val="24"/>
              </w:rPr>
            </w:pPr>
            <w:r>
              <w:rPr>
                <w:w w:val="90"/>
                <w:sz w:val="24"/>
              </w:rPr>
              <w:t>PENATAAN DAN PENGEMBANGAN ASPEK </w:t>
            </w:r>
            <w:r>
              <w:rPr>
                <w:spacing w:val="-4"/>
                <w:sz w:val="24"/>
              </w:rPr>
              <w:t>TRANSPORTASI</w:t>
            </w:r>
          </w:p>
        </w:tc>
        <w:tc>
          <w:tcPr>
            <w:tcW w:w="292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3" w:hRule="atLeast"/>
        </w:trPr>
        <w:tc>
          <w:tcPr>
            <w:tcW w:w="627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4" w:type="dxa"/>
            <w:shd w:val="clear" w:color="auto" w:fill="B4C5E7"/>
          </w:tcPr>
          <w:p>
            <w:pPr>
              <w:pStyle w:val="TableParagraph"/>
              <w:spacing w:line="250" w:lineRule="exact" w:before="13"/>
              <w:ind w:left="5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TRANSPORTASI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LAUT</w:t>
            </w:r>
          </w:p>
        </w:tc>
        <w:tc>
          <w:tcPr>
            <w:tcW w:w="2925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3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  <w:tc>
          <w:tcPr>
            <w:tcW w:w="4954" w:type="dxa"/>
          </w:tcPr>
          <w:p>
            <w:pPr>
              <w:pStyle w:val="TableParagraph"/>
              <w:spacing w:line="280" w:lineRule="atLeas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Optimalisasi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Pelabuhan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Tanjungpandan untuk </w:t>
            </w:r>
            <w:r>
              <w:rPr>
                <w:sz w:val="24"/>
              </w:rPr>
              <w:t>penumpang &amp; wisata</w:t>
            </w:r>
          </w:p>
        </w:tc>
        <w:tc>
          <w:tcPr>
            <w:tcW w:w="2925" w:type="dxa"/>
          </w:tcPr>
          <w:p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Pelabuhan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Tanjung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Pandan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6" w:right="3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1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pelabuhan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APBN,</w:t>
            </w:r>
            <w:r>
              <w:rPr>
                <w:spacing w:val="-2"/>
                <w:sz w:val="24"/>
              </w:rPr>
              <w:t> Swasta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spacing w:line="290" w:lineRule="atLeast"/>
              <w:ind w:left="-2" w:right="120"/>
              <w:rPr>
                <w:sz w:val="24"/>
              </w:rPr>
            </w:pPr>
            <w:r>
              <w:rPr>
                <w:spacing w:val="-12"/>
                <w:sz w:val="24"/>
              </w:rPr>
              <w:t>Dishub,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2"/>
                <w:sz w:val="24"/>
              </w:rPr>
              <w:t>KSOP, </w:t>
            </w:r>
            <w:r>
              <w:rPr>
                <w:spacing w:val="-2"/>
                <w:sz w:val="24"/>
              </w:rPr>
              <w:t>Dispar</w:t>
            </w:r>
          </w:p>
        </w:tc>
      </w:tr>
      <w:tr>
        <w:trPr>
          <w:trHeight w:val="563" w:hRule="atLeast"/>
        </w:trPr>
        <w:tc>
          <w:tcPr>
            <w:tcW w:w="627" w:type="dxa"/>
          </w:tcPr>
          <w:p>
            <w:pPr>
              <w:pStyle w:val="TableParagraph"/>
              <w:spacing w:before="4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4" w:type="dxa"/>
          </w:tcPr>
          <w:p>
            <w:pPr>
              <w:pStyle w:val="TableParagraph"/>
              <w:spacing w:before="4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Pembangunan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Pelabuhan Marina</w:t>
            </w:r>
          </w:p>
        </w:tc>
        <w:tc>
          <w:tcPr>
            <w:tcW w:w="2925" w:type="dxa"/>
          </w:tcPr>
          <w:p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Pelabuhan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Tanjung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Pandan</w:t>
            </w:r>
          </w:p>
        </w:tc>
        <w:tc>
          <w:tcPr>
            <w:tcW w:w="1608" w:type="dxa"/>
          </w:tcPr>
          <w:p>
            <w:pPr>
              <w:pStyle w:val="TableParagraph"/>
              <w:spacing w:before="4"/>
              <w:ind w:left="6" w:right="3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1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pelabuhan</w:t>
            </w:r>
          </w:p>
        </w:tc>
        <w:tc>
          <w:tcPr>
            <w:tcW w:w="1608" w:type="dxa"/>
          </w:tcPr>
          <w:p>
            <w:pPr>
              <w:pStyle w:val="TableParagraph"/>
              <w:spacing w:before="4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20.000</w:t>
            </w:r>
          </w:p>
        </w:tc>
        <w:tc>
          <w:tcPr>
            <w:tcW w:w="1608" w:type="dxa"/>
          </w:tcPr>
          <w:p>
            <w:pPr>
              <w:pStyle w:val="TableParagraph"/>
              <w:spacing w:before="4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APBN,</w:t>
            </w:r>
            <w:r>
              <w:rPr>
                <w:spacing w:val="-2"/>
                <w:sz w:val="24"/>
              </w:rPr>
              <w:t> Swasta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spacing w:before="4"/>
              <w:ind w:left="-2"/>
              <w:rPr>
                <w:sz w:val="24"/>
              </w:rPr>
            </w:pPr>
            <w:r>
              <w:rPr>
                <w:spacing w:val="-4"/>
                <w:sz w:val="24"/>
              </w:rPr>
              <w:t>Dishub,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KSOP,</w:t>
            </w:r>
          </w:p>
          <w:p>
            <w:pPr>
              <w:pStyle w:val="TableParagraph"/>
              <w:spacing w:line="251" w:lineRule="exact" w:before="13"/>
              <w:ind w:left="-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Dispar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3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4" w:type="dxa"/>
          </w:tcPr>
          <w:p>
            <w:pPr>
              <w:pStyle w:val="TableParagraph"/>
              <w:spacing w:line="280" w:lineRule="atLeast"/>
              <w:ind w:left="5"/>
              <w:rPr>
                <w:sz w:val="24"/>
              </w:rPr>
            </w:pPr>
            <w:r>
              <w:rPr>
                <w:sz w:val="24"/>
              </w:rPr>
              <w:t>Pemindahan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aktivitas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logistik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Pelabuhan Tanjung Batu</w:t>
            </w:r>
          </w:p>
        </w:tc>
        <w:tc>
          <w:tcPr>
            <w:tcW w:w="2925" w:type="dxa"/>
          </w:tcPr>
          <w:p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Pelabuhan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Tanjung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Batu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6" w:right="3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1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pelabuhan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APBN,</w:t>
            </w:r>
            <w:r>
              <w:rPr>
                <w:spacing w:val="-2"/>
                <w:sz w:val="24"/>
              </w:rPr>
              <w:t> Swasta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spacing w:before="13"/>
              <w:ind w:left="-2"/>
              <w:rPr>
                <w:sz w:val="24"/>
              </w:rPr>
            </w:pPr>
            <w:r>
              <w:rPr>
                <w:w w:val="90"/>
                <w:sz w:val="24"/>
              </w:rPr>
              <w:t>KSOP,</w:t>
            </w:r>
            <w:r>
              <w:rPr>
                <w:spacing w:val="8"/>
                <w:sz w:val="24"/>
              </w:rPr>
              <w:t> </w:t>
            </w:r>
            <w:r>
              <w:rPr>
                <w:w w:val="90"/>
                <w:sz w:val="24"/>
              </w:rPr>
              <w:t>Dishub,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BUMD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3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54" w:type="dxa"/>
          </w:tcPr>
          <w:p>
            <w:pPr>
              <w:pStyle w:val="TableParagraph"/>
              <w:spacing w:line="280" w:lineRule="atLeast"/>
              <w:ind w:left="5"/>
              <w:rPr>
                <w:sz w:val="24"/>
              </w:rPr>
            </w:pPr>
            <w:r>
              <w:rPr>
                <w:sz w:val="24"/>
              </w:rPr>
              <w:t>Revitalisasi Pelabuhan Tanjungpandan menjadi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pelabuhan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wisata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penumpang</w:t>
            </w:r>
          </w:p>
        </w:tc>
        <w:tc>
          <w:tcPr>
            <w:tcW w:w="2925" w:type="dxa"/>
          </w:tcPr>
          <w:p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Pelabuhan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Tanjung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Pandan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6" w:right="3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1</w:t>
            </w:r>
            <w:r>
              <w:rPr>
                <w:spacing w:val="-8"/>
                <w:w w:val="95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kawasan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50.000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APBN,</w:t>
            </w:r>
            <w:r>
              <w:rPr>
                <w:spacing w:val="-2"/>
                <w:sz w:val="24"/>
              </w:rPr>
              <w:t> Swasta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spacing w:line="280" w:lineRule="atLeast"/>
              <w:ind w:left="-2" w:right="120"/>
              <w:rPr>
                <w:sz w:val="24"/>
              </w:rPr>
            </w:pPr>
            <w:r>
              <w:rPr>
                <w:spacing w:val="-4"/>
                <w:sz w:val="24"/>
              </w:rPr>
              <w:t>Dishub,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Dispar, </w:t>
            </w:r>
            <w:r>
              <w:rPr>
                <w:spacing w:val="-2"/>
                <w:sz w:val="24"/>
              </w:rPr>
              <w:t>Swasta</w:t>
            </w:r>
          </w:p>
        </w:tc>
      </w:tr>
      <w:tr>
        <w:trPr>
          <w:trHeight w:val="283" w:hRule="atLeast"/>
        </w:trPr>
        <w:tc>
          <w:tcPr>
            <w:tcW w:w="627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4" w:type="dxa"/>
            <w:shd w:val="clear" w:color="auto" w:fill="B4C5E7"/>
          </w:tcPr>
          <w:p>
            <w:pPr>
              <w:pStyle w:val="TableParagraph"/>
              <w:spacing w:line="251" w:lineRule="exact" w:before="13"/>
              <w:ind w:left="5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TRANSPORTASI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spacing w:val="-4"/>
                <w:sz w:val="24"/>
              </w:rPr>
              <w:t>UDARA</w:t>
            </w:r>
          </w:p>
        </w:tc>
        <w:tc>
          <w:tcPr>
            <w:tcW w:w="2925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3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  <w:tc>
          <w:tcPr>
            <w:tcW w:w="4954" w:type="dxa"/>
          </w:tcPr>
          <w:p>
            <w:pPr>
              <w:pStyle w:val="TableParagraph"/>
              <w:spacing w:before="13"/>
              <w:ind w:left="5"/>
              <w:rPr>
                <w:sz w:val="24"/>
              </w:rPr>
            </w:pPr>
            <w:r>
              <w:rPr>
                <w:sz w:val="24"/>
              </w:rPr>
              <w:t>Perluasan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tempat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parkir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pesawat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(apron)</w:t>
            </w:r>
          </w:p>
        </w:tc>
        <w:tc>
          <w:tcPr>
            <w:tcW w:w="2925" w:type="dxa"/>
          </w:tcPr>
          <w:p>
            <w:pPr>
              <w:pStyle w:val="TableParagraph"/>
              <w:spacing w:line="280" w:lineRule="atLeast"/>
              <w:ind w:left="4"/>
              <w:rPr>
                <w:sz w:val="24"/>
              </w:rPr>
            </w:pPr>
            <w:r>
              <w:rPr>
                <w:sz w:val="24"/>
              </w:rPr>
              <w:t>Bandara HAS </w:t>
            </w:r>
            <w:r>
              <w:rPr>
                <w:spacing w:val="-4"/>
                <w:sz w:val="24"/>
              </w:rPr>
              <w:t>Hanandjoeddin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7" w:right="2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1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paket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20.000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APBN,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8"/>
                <w:sz w:val="24"/>
              </w:rPr>
              <w:t>AP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II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spacing w:before="157"/>
              <w:ind w:left="-2"/>
              <w:rPr>
                <w:sz w:val="24"/>
              </w:rPr>
            </w:pPr>
            <w:r>
              <w:rPr>
                <w:spacing w:val="-4"/>
                <w:sz w:val="24"/>
              </w:rPr>
              <w:t>Kemenhub,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AP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4" w:type="dxa"/>
          </w:tcPr>
          <w:p>
            <w:pPr>
              <w:pStyle w:val="TableParagraph"/>
              <w:spacing w:before="13"/>
              <w:ind w:left="5"/>
              <w:rPr>
                <w:sz w:val="24"/>
              </w:rPr>
            </w:pPr>
            <w:r>
              <w:rPr>
                <w:sz w:val="24"/>
              </w:rPr>
              <w:t>Perluasan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Bangunan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Terminal</w:t>
            </w:r>
          </w:p>
        </w:tc>
        <w:tc>
          <w:tcPr>
            <w:tcW w:w="2925" w:type="dxa"/>
          </w:tcPr>
          <w:p>
            <w:pPr>
              <w:pStyle w:val="TableParagraph"/>
              <w:spacing w:line="280" w:lineRule="atLeast"/>
              <w:ind w:left="4"/>
              <w:rPr>
                <w:sz w:val="24"/>
              </w:rPr>
            </w:pPr>
            <w:r>
              <w:rPr>
                <w:sz w:val="24"/>
              </w:rPr>
              <w:t>Bandara HAS </w:t>
            </w:r>
            <w:r>
              <w:rPr>
                <w:spacing w:val="-4"/>
                <w:sz w:val="24"/>
              </w:rPr>
              <w:t>Hanandjoeddin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8" w:right="2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1</w:t>
            </w:r>
            <w:r>
              <w:rPr>
                <w:spacing w:val="-8"/>
                <w:w w:val="95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gedung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100.000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APBN,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8"/>
                <w:sz w:val="24"/>
              </w:rPr>
              <w:t>AP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II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spacing w:before="157"/>
              <w:ind w:left="-2"/>
              <w:rPr>
                <w:sz w:val="24"/>
              </w:rPr>
            </w:pPr>
            <w:r>
              <w:rPr>
                <w:spacing w:val="-4"/>
                <w:sz w:val="24"/>
              </w:rPr>
              <w:t>Kemenhub,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AP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</w:tr>
      <w:tr>
        <w:trPr>
          <w:trHeight w:val="571" w:hRule="atLeast"/>
        </w:trPr>
        <w:tc>
          <w:tcPr>
            <w:tcW w:w="627" w:type="dxa"/>
          </w:tcPr>
          <w:p>
            <w:pPr>
              <w:pStyle w:val="TableParagraph"/>
              <w:spacing w:before="13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4" w:type="dxa"/>
          </w:tcPr>
          <w:p>
            <w:pPr>
              <w:pStyle w:val="TableParagraph"/>
              <w:spacing w:line="280" w:lineRule="atLeast"/>
              <w:ind w:left="5"/>
              <w:rPr>
                <w:sz w:val="24"/>
              </w:rPr>
            </w:pPr>
            <w:r>
              <w:rPr>
                <w:sz w:val="24"/>
              </w:rPr>
              <w:t>Penambahan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rute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penerbangan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domestik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dan </w:t>
            </w:r>
            <w:r>
              <w:rPr>
                <w:spacing w:val="-2"/>
                <w:sz w:val="24"/>
              </w:rPr>
              <w:t>internasional</w:t>
            </w:r>
          </w:p>
        </w:tc>
        <w:tc>
          <w:tcPr>
            <w:tcW w:w="2925" w:type="dxa"/>
          </w:tcPr>
          <w:p>
            <w:pPr>
              <w:pStyle w:val="TableParagraph"/>
              <w:spacing w:line="280" w:lineRule="atLeast"/>
              <w:ind w:left="4" w:right="1312"/>
              <w:rPr>
                <w:sz w:val="24"/>
              </w:rPr>
            </w:pPr>
            <w:r>
              <w:rPr>
                <w:spacing w:val="-6"/>
                <w:sz w:val="24"/>
              </w:rPr>
              <w:t>Bandara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H.A.S. </w:t>
            </w:r>
            <w:r>
              <w:rPr>
                <w:spacing w:val="-4"/>
                <w:sz w:val="24"/>
              </w:rPr>
              <w:t>Hanandjoeddin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Rute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6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8.000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APBN,</w:t>
            </w:r>
          </w:p>
          <w:p>
            <w:pPr>
              <w:pStyle w:val="TableParagraph"/>
              <w:spacing w:line="251" w:lineRule="exact" w:before="12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Maskapai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spacing w:line="280" w:lineRule="atLeast"/>
              <w:ind w:left="-2" w:right="1035"/>
              <w:rPr>
                <w:sz w:val="24"/>
              </w:rPr>
            </w:pPr>
            <w:r>
              <w:rPr>
                <w:spacing w:val="-4"/>
                <w:sz w:val="24"/>
              </w:rPr>
              <w:t>Kemenhub, </w:t>
            </w:r>
            <w:r>
              <w:rPr>
                <w:spacing w:val="-2"/>
                <w:sz w:val="24"/>
              </w:rPr>
              <w:t>Maskapai</w:t>
            </w:r>
          </w:p>
        </w:tc>
      </w:tr>
    </w:tbl>
    <w:sectPr>
      <w:footerReference w:type="default" r:id="rId5"/>
      <w:type w:val="continuous"/>
      <w:pgSz w:w="23820" w:h="16820" w:orient="landscape"/>
      <w:pgMar w:header="0" w:footer="538" w:top="740" w:bottom="720" w:left="1417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920750</wp:posOffset>
              </wp:positionH>
              <wp:positionV relativeFrom="page">
                <wp:posOffset>10199046</wp:posOffset>
              </wp:positionV>
              <wp:extent cx="272859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8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1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Integrated</w:t>
                          </w:r>
                          <w:r>
                            <w:rPr>
                              <w:color w:val="76707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City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Planning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in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Sumatera</w:t>
                          </w:r>
                          <w:r>
                            <w:rPr>
                              <w:color w:val="76707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and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>Kalimantan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5pt;margin-top:803.074524pt;width:214.85pt;height:11pt;mso-position-horizontal-relative:page;mso-position-vertical-relative:page;z-index:-160005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01" w:lineRule="exact"/>
                      <w:ind w:left="20"/>
                    </w:pPr>
                    <w:r>
                      <w:rPr>
                        <w:color w:val="767070"/>
                      </w:rPr>
                      <w:t>Integrated</w:t>
                    </w:r>
                    <w:r>
                      <w:rPr>
                        <w:color w:val="767070"/>
                        <w:spacing w:val="-3"/>
                      </w:rPr>
                      <w:t> </w:t>
                    </w:r>
                    <w:r>
                      <w:rPr>
                        <w:color w:val="767070"/>
                      </w:rPr>
                      <w:t>City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Planning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</w:rPr>
                      <w:t>in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Sumatera</w:t>
                    </w:r>
                    <w:r>
                      <w:rPr>
                        <w:color w:val="767070"/>
                        <w:spacing w:val="-6"/>
                      </w:rPr>
                      <w:t> </w:t>
                    </w:r>
                    <w:r>
                      <w:rPr>
                        <w:color w:val="767070"/>
                      </w:rPr>
                      <w:t>and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  <w:spacing w:val="-2"/>
                      </w:rPr>
                      <w:t>Kalimantan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462"/>
      <w:ind w:left="197"/>
    </w:pPr>
    <w:rPr>
      <w:rFonts w:ascii="Arial" w:hAnsi="Arial" w:eastAsia="Arial" w:cs="Arial"/>
      <w:sz w:val="56"/>
      <w:szCs w:val="5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2025-12-23T23:41:53Z</dcterms:created>
  <dcterms:modified xsi:type="dcterms:W3CDTF">2025-12-23T23:41:53Z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